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C8D4" w14:textId="2CA4D475" w:rsidR="004629F9" w:rsidRPr="005A6D60" w:rsidRDefault="005A6D60" w:rsidP="00D707C2">
      <w:pPr>
        <w:pStyle w:val="Otsikko1"/>
        <w:rPr>
          <w:lang w:val="en-GB"/>
        </w:rPr>
      </w:pPr>
      <w:r w:rsidRPr="005A6D60">
        <w:rPr>
          <w:lang w:val="en-GB"/>
        </w:rPr>
        <w:t>Practical Teacher Training in Profe</w:t>
      </w:r>
      <w:r>
        <w:rPr>
          <w:lang w:val="en-GB"/>
        </w:rPr>
        <w:t>ssional Teacher Education</w:t>
      </w:r>
    </w:p>
    <w:p w14:paraId="2DDC9841" w14:textId="2130997E" w:rsidR="00D707C2" w:rsidRPr="005A6D60" w:rsidRDefault="005A6D60" w:rsidP="00D707C2">
      <w:pPr>
        <w:pStyle w:val="Otsikko2"/>
        <w:rPr>
          <w:lang w:val="en-GB"/>
        </w:rPr>
      </w:pPr>
      <w:r>
        <w:rPr>
          <w:lang w:val="en-GB"/>
        </w:rPr>
        <w:t>Location of Practical Teacher Training</w:t>
      </w:r>
    </w:p>
    <w:p w14:paraId="5712C6DA" w14:textId="77D1B33B" w:rsidR="005A6D60" w:rsidRPr="00E150A0" w:rsidRDefault="00AB6FB8" w:rsidP="005A6D60">
      <w:pPr>
        <w:spacing w:after="240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5A6D60" w:rsidRPr="00E150A0">
        <w:rPr>
          <w:rFonts w:cs="Arial"/>
          <w:lang w:val="en-GB"/>
        </w:rPr>
        <w:t>table</w:t>
      </w:r>
      <w:r>
        <w:rPr>
          <w:rFonts w:cs="Arial"/>
          <w:lang w:val="en-GB"/>
        </w:rPr>
        <w:t xml:space="preserve"> below</w:t>
      </w:r>
      <w:r w:rsidR="005A6D60" w:rsidRPr="00E150A0">
        <w:rPr>
          <w:rFonts w:cs="Arial"/>
          <w:lang w:val="en-GB"/>
        </w:rPr>
        <w:t xml:space="preserve"> show</w:t>
      </w:r>
      <w:r>
        <w:rPr>
          <w:rFonts w:cs="Arial"/>
          <w:lang w:val="en-GB"/>
        </w:rPr>
        <w:t>s</w:t>
      </w:r>
      <w:r w:rsidR="005A6D60" w:rsidRPr="00E150A0">
        <w:rPr>
          <w:rFonts w:cs="Arial"/>
          <w:lang w:val="en-GB"/>
        </w:rPr>
        <w:t xml:space="preserve"> the suitability of different levels and forms of education for </w:t>
      </w:r>
      <w:r w:rsidR="005A6D60">
        <w:rPr>
          <w:rFonts w:cs="Arial"/>
          <w:lang w:val="en-GB"/>
        </w:rPr>
        <w:t>Practical Teacher Training</w:t>
      </w:r>
      <w:r w:rsidR="005A6D60" w:rsidRPr="00E150A0">
        <w:rPr>
          <w:rFonts w:cs="Arial"/>
          <w:lang w:val="en-GB"/>
        </w:rPr>
        <w:t xml:space="preserve">. </w:t>
      </w:r>
      <w:r w:rsidR="005A6D60">
        <w:rPr>
          <w:rFonts w:cs="Arial"/>
          <w:lang w:val="en-GB"/>
        </w:rPr>
        <w:t>If the location is other than a vocational education institution or university of applied sciences, see</w:t>
      </w:r>
      <w:r w:rsidR="005A6D60" w:rsidRPr="00E150A0">
        <w:rPr>
          <w:rFonts w:cs="Arial"/>
          <w:lang w:val="en-GB"/>
        </w:rPr>
        <w:t xml:space="preserve"> </w:t>
      </w:r>
      <w:r w:rsidR="005A6D60">
        <w:rPr>
          <w:rFonts w:cs="Arial"/>
          <w:lang w:val="en-GB"/>
        </w:rPr>
        <w:t>the conditions</w:t>
      </w:r>
      <w:r w:rsidR="005A6D60" w:rsidRPr="00E150A0">
        <w:rPr>
          <w:rFonts w:cs="Arial"/>
          <w:lang w:val="en-GB"/>
        </w:rPr>
        <w:t>.</w:t>
      </w:r>
    </w:p>
    <w:tbl>
      <w:tblPr>
        <w:tblStyle w:val="TaulukkoRuudukko"/>
        <w:tblW w:w="9558" w:type="dxa"/>
        <w:tblLook w:val="04A0" w:firstRow="1" w:lastRow="0" w:firstColumn="1" w:lastColumn="0" w:noHBand="0" w:noVBand="1"/>
      </w:tblPr>
      <w:tblGrid>
        <w:gridCol w:w="3539"/>
        <w:gridCol w:w="1418"/>
        <w:gridCol w:w="4601"/>
      </w:tblGrid>
      <w:tr w:rsidR="005A6D60" w:rsidRPr="00E150A0" w14:paraId="38DFDDF0" w14:textId="77777777" w:rsidTr="004B6BF3">
        <w:trPr>
          <w:trHeight w:val="366"/>
        </w:trPr>
        <w:tc>
          <w:tcPr>
            <w:tcW w:w="3539" w:type="dxa"/>
            <w:vAlign w:val="center"/>
          </w:tcPr>
          <w:p w14:paraId="54C312C0" w14:textId="77777777" w:rsidR="005A6D60" w:rsidRPr="00E150A0" w:rsidRDefault="005A6D60" w:rsidP="004B6BF3">
            <w:pPr>
              <w:pStyle w:val="Otsikko3"/>
              <w:rPr>
                <w:lang w:val="en-GB"/>
              </w:rPr>
            </w:pPr>
            <w:bookmarkStart w:id="0" w:name="_Hlk103597964"/>
            <w:r w:rsidRPr="00E150A0">
              <w:rPr>
                <w:lang w:val="en-GB"/>
              </w:rPr>
              <w:t>Location</w:t>
            </w:r>
          </w:p>
        </w:tc>
        <w:tc>
          <w:tcPr>
            <w:tcW w:w="1418" w:type="dxa"/>
            <w:vAlign w:val="center"/>
          </w:tcPr>
          <w:p w14:paraId="5AB33594" w14:textId="77777777" w:rsidR="005A6D60" w:rsidRPr="00E150A0" w:rsidRDefault="005A6D60" w:rsidP="004B6BF3">
            <w:pPr>
              <w:pStyle w:val="Otsikko3"/>
              <w:rPr>
                <w:lang w:val="en-GB"/>
              </w:rPr>
            </w:pPr>
            <w:r w:rsidRPr="00E150A0">
              <w:rPr>
                <w:shd w:val="clear" w:color="auto" w:fill="FFFFFF"/>
                <w:lang w:val="en-GB"/>
              </w:rPr>
              <w:t>Eligibility</w:t>
            </w:r>
          </w:p>
        </w:tc>
        <w:tc>
          <w:tcPr>
            <w:tcW w:w="4601" w:type="dxa"/>
            <w:vAlign w:val="center"/>
          </w:tcPr>
          <w:p w14:paraId="281B42D6" w14:textId="77777777" w:rsidR="005A6D60" w:rsidRPr="00E150A0" w:rsidRDefault="005A6D60" w:rsidP="004B6BF3">
            <w:pPr>
              <w:pStyle w:val="Otsikko3"/>
              <w:rPr>
                <w:lang w:val="en-GB"/>
              </w:rPr>
            </w:pPr>
            <w:r w:rsidRPr="00E150A0">
              <w:rPr>
                <w:shd w:val="clear" w:color="auto" w:fill="FFFFFF"/>
                <w:lang w:val="en-GB"/>
              </w:rPr>
              <w:t>Conditions</w:t>
            </w:r>
          </w:p>
        </w:tc>
      </w:tr>
      <w:tr w:rsidR="005A6D60" w:rsidRPr="00E150A0" w14:paraId="758AC093" w14:textId="77777777" w:rsidTr="004B6BF3">
        <w:trPr>
          <w:trHeight w:val="455"/>
        </w:trPr>
        <w:tc>
          <w:tcPr>
            <w:tcW w:w="3539" w:type="dxa"/>
            <w:vAlign w:val="center"/>
          </w:tcPr>
          <w:p w14:paraId="7F5223FD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lang w:val="en-GB"/>
              </w:rPr>
              <w:t>Primary education</w:t>
            </w:r>
          </w:p>
        </w:tc>
        <w:tc>
          <w:tcPr>
            <w:tcW w:w="1418" w:type="dxa"/>
            <w:vAlign w:val="center"/>
          </w:tcPr>
          <w:p w14:paraId="0D3B9F05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b/>
                <w:bCs/>
                <w:color w:val="FF0000"/>
                <w:lang w:val="en-GB"/>
              </w:rPr>
              <w:t>No</w:t>
            </w:r>
          </w:p>
        </w:tc>
        <w:tc>
          <w:tcPr>
            <w:tcW w:w="4601" w:type="dxa"/>
            <w:vAlign w:val="center"/>
          </w:tcPr>
          <w:p w14:paraId="43502AE7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</w:p>
        </w:tc>
      </w:tr>
      <w:tr w:rsidR="005A6D60" w:rsidRPr="00575F2C" w14:paraId="7A05FC8C" w14:textId="77777777" w:rsidTr="004B6BF3">
        <w:trPr>
          <w:trHeight w:val="1139"/>
        </w:trPr>
        <w:tc>
          <w:tcPr>
            <w:tcW w:w="3539" w:type="dxa"/>
            <w:vAlign w:val="center"/>
          </w:tcPr>
          <w:p w14:paraId="670AAD61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lang w:val="en-GB"/>
              </w:rPr>
              <w:t>Lower or upper secondary education</w:t>
            </w:r>
          </w:p>
        </w:tc>
        <w:tc>
          <w:tcPr>
            <w:tcW w:w="1418" w:type="dxa"/>
            <w:vAlign w:val="center"/>
          </w:tcPr>
          <w:p w14:paraId="1FAA4452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BF8F00" w:themeColor="accent4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BF8F00" w:themeColor="accent4" w:themeShade="BF"/>
                <w:lang w:val="en-GB"/>
              </w:rPr>
              <w:t>See Conditions</w:t>
            </w:r>
          </w:p>
        </w:tc>
        <w:tc>
          <w:tcPr>
            <w:tcW w:w="4601" w:type="dxa"/>
            <w:vAlign w:val="center"/>
          </w:tcPr>
          <w:p w14:paraId="620BCEB6" w14:textId="4694271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Only if the subject of teaching is not taught in other educational institutions.</w:t>
            </w:r>
            <w:r>
              <w:rPr>
                <w:rFonts w:cs="Arial"/>
                <w:color w:val="0D0D0D"/>
                <w:shd w:val="clear" w:color="auto" w:fill="FFFFFF"/>
                <w:lang w:val="en-GB"/>
              </w:rPr>
              <w:t xml:space="preserve"> </w:t>
            </w: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Teaching should primarily aim at education leading to qualification and competence.</w:t>
            </w:r>
          </w:p>
        </w:tc>
      </w:tr>
      <w:tr w:rsidR="005A6D60" w:rsidRPr="00575F2C" w14:paraId="7A1E8AF8" w14:textId="77777777" w:rsidTr="004B6BF3">
        <w:trPr>
          <w:trHeight w:val="688"/>
        </w:trPr>
        <w:tc>
          <w:tcPr>
            <w:tcW w:w="3539" w:type="dxa"/>
            <w:vAlign w:val="center"/>
          </w:tcPr>
          <w:p w14:paraId="52B67E4B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Vocational upper secondary education</w:t>
            </w:r>
          </w:p>
        </w:tc>
        <w:tc>
          <w:tcPr>
            <w:tcW w:w="1418" w:type="dxa"/>
            <w:vAlign w:val="center"/>
          </w:tcPr>
          <w:p w14:paraId="3E17F1C4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538135" w:themeColor="accent6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538135" w:themeColor="accent6" w:themeShade="BF"/>
                <w:lang w:val="en-GB"/>
              </w:rPr>
              <w:t>Yes</w:t>
            </w:r>
          </w:p>
        </w:tc>
        <w:tc>
          <w:tcPr>
            <w:tcW w:w="4601" w:type="dxa"/>
            <w:vAlign w:val="center"/>
          </w:tcPr>
          <w:p w14:paraId="37A2C2F9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Teaching should primarily aim at education leading to qualification and competence.</w:t>
            </w:r>
          </w:p>
        </w:tc>
      </w:tr>
      <w:tr w:rsidR="005A6D60" w:rsidRPr="00575F2C" w14:paraId="3696B57D" w14:textId="77777777" w:rsidTr="004B6BF3">
        <w:trPr>
          <w:trHeight w:val="698"/>
        </w:trPr>
        <w:tc>
          <w:tcPr>
            <w:tcW w:w="3539" w:type="dxa"/>
            <w:vAlign w:val="center"/>
          </w:tcPr>
          <w:p w14:paraId="00C634FF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 xml:space="preserve">University of </w:t>
            </w:r>
            <w:r>
              <w:rPr>
                <w:rFonts w:cs="Arial"/>
                <w:lang w:val="en-GB"/>
              </w:rPr>
              <w:t>Applied Sciences</w:t>
            </w:r>
          </w:p>
        </w:tc>
        <w:tc>
          <w:tcPr>
            <w:tcW w:w="1418" w:type="dxa"/>
            <w:vAlign w:val="center"/>
          </w:tcPr>
          <w:p w14:paraId="4EEBD980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538135" w:themeColor="accent6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538135" w:themeColor="accent6" w:themeShade="BF"/>
                <w:lang w:val="en-GB"/>
              </w:rPr>
              <w:t>Yes</w:t>
            </w:r>
          </w:p>
        </w:tc>
        <w:tc>
          <w:tcPr>
            <w:tcW w:w="4601" w:type="dxa"/>
            <w:vAlign w:val="center"/>
          </w:tcPr>
          <w:p w14:paraId="4903EC8D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Teaching should primarily aim at education leading to qualification and competence.</w:t>
            </w:r>
          </w:p>
        </w:tc>
      </w:tr>
      <w:tr w:rsidR="005A6D60" w:rsidRPr="00575F2C" w14:paraId="33D58803" w14:textId="77777777" w:rsidTr="004B6BF3">
        <w:trPr>
          <w:trHeight w:val="1417"/>
        </w:trPr>
        <w:tc>
          <w:tcPr>
            <w:tcW w:w="3539" w:type="dxa"/>
            <w:vAlign w:val="center"/>
          </w:tcPr>
          <w:p w14:paraId="4EBD5533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University</w:t>
            </w:r>
          </w:p>
        </w:tc>
        <w:tc>
          <w:tcPr>
            <w:tcW w:w="1418" w:type="dxa"/>
            <w:vAlign w:val="center"/>
          </w:tcPr>
          <w:p w14:paraId="507A68BB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538135" w:themeColor="accent6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BF8F00" w:themeColor="accent4" w:themeShade="BF"/>
                <w:lang w:val="en-GB"/>
              </w:rPr>
              <w:t>See Conditions</w:t>
            </w:r>
          </w:p>
        </w:tc>
        <w:tc>
          <w:tcPr>
            <w:tcW w:w="4601" w:type="dxa"/>
            <w:vAlign w:val="center"/>
          </w:tcPr>
          <w:p w14:paraId="0310BAA9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Acceptable if the teaching unit also includes learning and/or competence assessment. However, observation should be carried out in a vocational institution or university of applied sciences</w:t>
            </w:r>
          </w:p>
        </w:tc>
      </w:tr>
      <w:tr w:rsidR="005A6D60" w:rsidRPr="00575F2C" w14:paraId="40AB882B" w14:textId="77777777" w:rsidTr="004B6BF3">
        <w:trPr>
          <w:trHeight w:val="686"/>
        </w:trPr>
        <w:tc>
          <w:tcPr>
            <w:tcW w:w="3539" w:type="dxa"/>
            <w:vAlign w:val="center"/>
          </w:tcPr>
          <w:p w14:paraId="21CFB1C9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TUVA (Preparatory Education and Training)</w:t>
            </w:r>
          </w:p>
        </w:tc>
        <w:tc>
          <w:tcPr>
            <w:tcW w:w="1418" w:type="dxa"/>
            <w:vAlign w:val="center"/>
          </w:tcPr>
          <w:p w14:paraId="37E43C91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b/>
                <w:bCs/>
                <w:color w:val="538135" w:themeColor="accent6" w:themeShade="BF"/>
                <w:lang w:val="en-GB"/>
              </w:rPr>
              <w:t>Yes</w:t>
            </w:r>
          </w:p>
        </w:tc>
        <w:tc>
          <w:tcPr>
            <w:tcW w:w="4601" w:type="dxa"/>
            <w:vAlign w:val="center"/>
          </w:tcPr>
          <w:p w14:paraId="49F46AA1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Vocational education preparing for a qualification</w:t>
            </w:r>
          </w:p>
        </w:tc>
      </w:tr>
      <w:tr w:rsidR="005A6D60" w:rsidRPr="00575F2C" w14:paraId="171F8795" w14:textId="77777777" w:rsidTr="004B6BF3">
        <w:tc>
          <w:tcPr>
            <w:tcW w:w="3539" w:type="dxa"/>
            <w:vAlign w:val="center"/>
          </w:tcPr>
          <w:p w14:paraId="0F939FC2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Vocational Continuing Education, Other Vocational Further Education</w:t>
            </w:r>
          </w:p>
        </w:tc>
        <w:tc>
          <w:tcPr>
            <w:tcW w:w="1418" w:type="dxa"/>
            <w:vAlign w:val="center"/>
          </w:tcPr>
          <w:p w14:paraId="2D64898E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b/>
                <w:bCs/>
                <w:color w:val="538135" w:themeColor="accent6" w:themeShade="BF"/>
                <w:lang w:val="en-GB"/>
              </w:rPr>
              <w:t>Yes</w:t>
            </w:r>
          </w:p>
        </w:tc>
        <w:tc>
          <w:tcPr>
            <w:tcW w:w="4601" w:type="dxa"/>
            <w:vAlign w:val="center"/>
          </w:tcPr>
          <w:p w14:paraId="04FDC948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Acceptable if the teaching unit also includes learning and/or competence assessment.</w:t>
            </w:r>
          </w:p>
        </w:tc>
      </w:tr>
      <w:tr w:rsidR="005A6D60" w:rsidRPr="00575F2C" w14:paraId="3954A94F" w14:textId="77777777" w:rsidTr="004B6BF3">
        <w:trPr>
          <w:trHeight w:val="1501"/>
        </w:trPr>
        <w:tc>
          <w:tcPr>
            <w:tcW w:w="3539" w:type="dxa"/>
            <w:vAlign w:val="center"/>
          </w:tcPr>
          <w:p w14:paraId="2FA109FD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Liberal adult education</w:t>
            </w:r>
          </w:p>
        </w:tc>
        <w:tc>
          <w:tcPr>
            <w:tcW w:w="1418" w:type="dxa"/>
            <w:vAlign w:val="center"/>
          </w:tcPr>
          <w:p w14:paraId="500904DA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BF8F00" w:themeColor="accent4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BF8F00" w:themeColor="accent4" w:themeShade="BF"/>
                <w:lang w:val="en-GB"/>
              </w:rPr>
              <w:t>See Conditions</w:t>
            </w:r>
          </w:p>
        </w:tc>
        <w:tc>
          <w:tcPr>
            <w:tcW w:w="4601" w:type="dxa"/>
            <w:vAlign w:val="center"/>
          </w:tcPr>
          <w:p w14:paraId="050C0627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Acceptable if the teaching unit also includes learning and/or competence assessment. However, observation should be carried out in a vocational institution or university of applied sciences</w:t>
            </w:r>
          </w:p>
        </w:tc>
      </w:tr>
      <w:tr w:rsidR="005A6D60" w:rsidRPr="00575F2C" w14:paraId="5F5CBAD5" w14:textId="77777777" w:rsidTr="004B6BF3">
        <w:trPr>
          <w:trHeight w:val="2543"/>
        </w:trPr>
        <w:tc>
          <w:tcPr>
            <w:tcW w:w="3539" w:type="dxa"/>
            <w:vAlign w:val="center"/>
          </w:tcPr>
          <w:p w14:paraId="7FF01CCD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Company</w:t>
            </w:r>
          </w:p>
        </w:tc>
        <w:tc>
          <w:tcPr>
            <w:tcW w:w="1418" w:type="dxa"/>
            <w:vAlign w:val="center"/>
          </w:tcPr>
          <w:p w14:paraId="398DF443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color w:val="BF8F00" w:themeColor="accent4" w:themeShade="BF"/>
                <w:lang w:val="en-GB"/>
              </w:rPr>
            </w:pPr>
            <w:r w:rsidRPr="00E150A0">
              <w:rPr>
                <w:rFonts w:cs="Arial"/>
                <w:b/>
                <w:bCs/>
                <w:color w:val="BF8F00" w:themeColor="accent4" w:themeShade="BF"/>
                <w:lang w:val="en-GB"/>
              </w:rPr>
              <w:t>See Conditions</w:t>
            </w:r>
          </w:p>
        </w:tc>
        <w:tc>
          <w:tcPr>
            <w:tcW w:w="4601" w:type="dxa"/>
            <w:vAlign w:val="center"/>
          </w:tcPr>
          <w:p w14:paraId="15E077B3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If the teaching is of a vocational nature, of sufficient scope, and the teaching unit includes learning and/or competence assessment. The company must have a competent supervising teacher, or the student can acquire an external supervising teacher. However, observation should be carried out in a vocational institution or university of applied sciences</w:t>
            </w:r>
          </w:p>
        </w:tc>
      </w:tr>
      <w:tr w:rsidR="005A6D60" w:rsidRPr="00575F2C" w14:paraId="079E502D" w14:textId="77777777" w:rsidTr="004B6BF3">
        <w:trPr>
          <w:trHeight w:val="1975"/>
        </w:trPr>
        <w:tc>
          <w:tcPr>
            <w:tcW w:w="3539" w:type="dxa"/>
            <w:vAlign w:val="center"/>
          </w:tcPr>
          <w:p w14:paraId="03786F0D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lang w:val="en-GB"/>
              </w:rPr>
              <w:t>Abroad</w:t>
            </w:r>
          </w:p>
        </w:tc>
        <w:tc>
          <w:tcPr>
            <w:tcW w:w="1418" w:type="dxa"/>
            <w:vAlign w:val="center"/>
          </w:tcPr>
          <w:p w14:paraId="3E48E7E4" w14:textId="77777777" w:rsidR="005A6D60" w:rsidRPr="00E150A0" w:rsidRDefault="005A6D60" w:rsidP="004B6BF3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E150A0">
              <w:rPr>
                <w:rFonts w:cs="Arial"/>
                <w:b/>
                <w:bCs/>
                <w:color w:val="BF8F00" w:themeColor="accent4" w:themeShade="BF"/>
                <w:lang w:val="en-GB"/>
              </w:rPr>
              <w:t>See Conditions</w:t>
            </w:r>
          </w:p>
        </w:tc>
        <w:tc>
          <w:tcPr>
            <w:tcW w:w="4601" w:type="dxa"/>
            <w:vAlign w:val="center"/>
          </w:tcPr>
          <w:p w14:paraId="0DF4E914" w14:textId="77777777" w:rsidR="005A6D60" w:rsidRPr="00E150A0" w:rsidRDefault="005A6D60" w:rsidP="004B6BF3">
            <w:pPr>
              <w:spacing w:line="240" w:lineRule="auto"/>
              <w:rPr>
                <w:rFonts w:cs="Arial"/>
                <w:lang w:val="en-GB"/>
              </w:rPr>
            </w:pP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Teaching practice can also be carried out abroad either in strategic partner universities (e.g., RUN-EU institutions, VIA, and Feevale) or in other international partner universities.</w:t>
            </w:r>
            <w:r w:rsidRPr="00E150A0">
              <w:rPr>
                <w:rFonts w:cs="Arial"/>
                <w:lang w:val="en-GB"/>
              </w:rPr>
              <w:t xml:space="preserve"> </w:t>
            </w:r>
            <w:r w:rsidRPr="00E150A0">
              <w:rPr>
                <w:rFonts w:cs="Arial"/>
                <w:color w:val="0D0D0D"/>
                <w:shd w:val="clear" w:color="auto" w:fill="FFFFFF"/>
                <w:lang w:val="en-GB"/>
              </w:rPr>
              <w:t>Teaching should primarily aim at education leading to qualification and competence.</w:t>
            </w:r>
          </w:p>
        </w:tc>
      </w:tr>
      <w:bookmarkEnd w:id="0"/>
    </w:tbl>
    <w:p w14:paraId="1A6E25ED" w14:textId="77777777" w:rsidR="001D2F3A" w:rsidRPr="005A6D60" w:rsidRDefault="001D2F3A" w:rsidP="00E739FB">
      <w:pPr>
        <w:rPr>
          <w:lang w:val="en-GB"/>
        </w:rPr>
      </w:pPr>
    </w:p>
    <w:p w14:paraId="694E3AF5" w14:textId="021890A8" w:rsidR="00D707C2" w:rsidRPr="005A6D60" w:rsidRDefault="005A6D60" w:rsidP="00D707C2">
      <w:pPr>
        <w:pStyle w:val="Otsikko2"/>
        <w:rPr>
          <w:lang w:val="en-GB"/>
        </w:rPr>
      </w:pPr>
      <w:r w:rsidRPr="005A6D60">
        <w:rPr>
          <w:lang w:val="en-GB"/>
        </w:rPr>
        <w:t xml:space="preserve">Content and </w:t>
      </w:r>
      <w:r>
        <w:rPr>
          <w:lang w:val="en-GB"/>
        </w:rPr>
        <w:t>Scope</w:t>
      </w:r>
      <w:r w:rsidRPr="005A6D60">
        <w:rPr>
          <w:lang w:val="en-GB"/>
        </w:rPr>
        <w:t xml:space="preserve"> of Practical Teacher Training</w:t>
      </w:r>
    </w:p>
    <w:p w14:paraId="0C063EE1" w14:textId="63B01ED2" w:rsidR="005A6D60" w:rsidRPr="00E150A0" w:rsidRDefault="005A6D60" w:rsidP="005A6D60">
      <w:pPr>
        <w:rPr>
          <w:rFonts w:cs="Arial"/>
          <w:lang w:val="en-GB"/>
        </w:rPr>
      </w:pPr>
      <w:r>
        <w:rPr>
          <w:rFonts w:cs="Arial"/>
          <w:lang w:val="en-GB"/>
        </w:rPr>
        <w:t>Practical teacher training</w:t>
      </w:r>
      <w:r w:rsidRPr="00E150A0">
        <w:rPr>
          <w:rFonts w:cs="Arial"/>
          <w:lang w:val="en-GB"/>
        </w:rPr>
        <w:t xml:space="preserve"> </w:t>
      </w:r>
      <w:r w:rsidR="001D46F0">
        <w:rPr>
          <w:rFonts w:cs="Arial"/>
          <w:lang w:val="en-GB"/>
        </w:rPr>
        <w:t xml:space="preserve">must </w:t>
      </w:r>
      <w:r w:rsidRPr="00E150A0">
        <w:rPr>
          <w:rFonts w:cs="Arial"/>
          <w:lang w:val="en-GB"/>
        </w:rPr>
        <w:t xml:space="preserve">always include planning </w:t>
      </w:r>
      <w:r w:rsidR="00B9205F">
        <w:rPr>
          <w:rFonts w:cs="Arial"/>
          <w:lang w:val="en-GB"/>
        </w:rPr>
        <w:t>the</w:t>
      </w:r>
      <w:r w:rsidRPr="00E150A0">
        <w:rPr>
          <w:rFonts w:cs="Arial"/>
          <w:lang w:val="en-GB"/>
        </w:rPr>
        <w:t xml:space="preserve"> teaching </w:t>
      </w:r>
      <w:r w:rsidR="001D46F0">
        <w:rPr>
          <w:rFonts w:cs="Arial"/>
          <w:lang w:val="en-GB"/>
        </w:rPr>
        <w:t>sessions</w:t>
      </w:r>
      <w:r w:rsidRPr="00E150A0">
        <w:rPr>
          <w:rFonts w:cs="Arial"/>
          <w:lang w:val="en-GB"/>
        </w:rPr>
        <w:t xml:space="preserve">, </w:t>
      </w:r>
      <w:r w:rsidR="001D46F0">
        <w:rPr>
          <w:rFonts w:cs="Arial"/>
          <w:lang w:val="en-GB"/>
        </w:rPr>
        <w:t>delivering</w:t>
      </w:r>
      <w:r w:rsidR="00B9205F">
        <w:rPr>
          <w:rFonts w:cs="Arial"/>
          <w:lang w:val="en-GB"/>
        </w:rPr>
        <w:t xml:space="preserve"> </w:t>
      </w:r>
      <w:r w:rsidR="001D46F0">
        <w:rPr>
          <w:rFonts w:cs="Arial"/>
          <w:lang w:val="en-GB"/>
        </w:rPr>
        <w:t>lessons</w:t>
      </w:r>
      <w:r w:rsidRPr="00E150A0">
        <w:rPr>
          <w:rFonts w:cs="Arial"/>
          <w:lang w:val="en-GB"/>
        </w:rPr>
        <w:t>, guid</w:t>
      </w:r>
      <w:r w:rsidR="001D46F0">
        <w:rPr>
          <w:rFonts w:cs="Arial"/>
          <w:lang w:val="en-GB"/>
        </w:rPr>
        <w:t>ing</w:t>
      </w:r>
      <w:r w:rsidRPr="00E150A0">
        <w:rPr>
          <w:rFonts w:cs="Arial"/>
          <w:lang w:val="en-GB"/>
        </w:rPr>
        <w:t xml:space="preserve"> learning, and </w:t>
      </w:r>
      <w:r w:rsidR="00B9205F">
        <w:rPr>
          <w:rFonts w:cs="Arial"/>
          <w:lang w:val="en-GB"/>
        </w:rPr>
        <w:t>assessment</w:t>
      </w:r>
      <w:r w:rsidRPr="00E150A0">
        <w:rPr>
          <w:rFonts w:cs="Arial"/>
          <w:lang w:val="en-GB"/>
        </w:rPr>
        <w:t xml:space="preserve"> </w:t>
      </w:r>
      <w:r w:rsidR="00B9205F">
        <w:rPr>
          <w:rFonts w:cs="Arial"/>
          <w:lang w:val="en-GB"/>
        </w:rPr>
        <w:t>(</w:t>
      </w:r>
      <w:r w:rsidRPr="00E150A0">
        <w:rPr>
          <w:rFonts w:cs="Arial"/>
          <w:lang w:val="en-GB"/>
        </w:rPr>
        <w:t>learning or competence</w:t>
      </w:r>
      <w:r w:rsidR="00B9205F">
        <w:rPr>
          <w:rFonts w:cs="Arial"/>
          <w:lang w:val="en-GB"/>
        </w:rPr>
        <w:t>)</w:t>
      </w:r>
      <w:r w:rsidRPr="00E150A0">
        <w:rPr>
          <w:rFonts w:cs="Arial"/>
          <w:lang w:val="en-GB"/>
        </w:rPr>
        <w:t xml:space="preserve">. </w:t>
      </w:r>
      <w:r w:rsidR="00B9205F">
        <w:rPr>
          <w:rFonts w:cs="Arial"/>
          <w:lang w:val="en-GB"/>
        </w:rPr>
        <w:t>Practical Teacher Training</w:t>
      </w:r>
      <w:r w:rsidRPr="00E150A0">
        <w:rPr>
          <w:rFonts w:cs="Arial"/>
          <w:lang w:val="en-GB"/>
        </w:rPr>
        <w:t xml:space="preserve"> can also be conducted online. </w:t>
      </w:r>
      <w:r w:rsidR="001D46F0">
        <w:rPr>
          <w:rFonts w:cs="Arial"/>
          <w:lang w:val="en-GB"/>
        </w:rPr>
        <w:t>Additionally</w:t>
      </w:r>
      <w:r w:rsidRPr="00E150A0">
        <w:rPr>
          <w:rFonts w:cs="Arial"/>
          <w:lang w:val="en-GB"/>
        </w:rPr>
        <w:t xml:space="preserve">, </w:t>
      </w:r>
      <w:r w:rsidR="00B9205F">
        <w:rPr>
          <w:rFonts w:cs="Arial"/>
          <w:lang w:val="en-GB"/>
        </w:rPr>
        <w:t>Practical Teacher Training</w:t>
      </w:r>
      <w:r w:rsidRPr="00E150A0">
        <w:rPr>
          <w:rFonts w:cs="Arial"/>
          <w:lang w:val="en-GB"/>
        </w:rPr>
        <w:t xml:space="preserve"> may include collaboration with the wor</w:t>
      </w:r>
      <w:r w:rsidR="001D46F0">
        <w:rPr>
          <w:rFonts w:cs="Arial"/>
          <w:lang w:val="en-GB"/>
        </w:rPr>
        <w:t>ld of work</w:t>
      </w:r>
      <w:r w:rsidRPr="00E150A0">
        <w:rPr>
          <w:rFonts w:cs="Arial"/>
          <w:lang w:val="en-GB"/>
        </w:rPr>
        <w:t xml:space="preserve"> and guidance of learning taking place at the workplace. However, acting as a workplace instructor is not accepted</w:t>
      </w:r>
      <w:r w:rsidR="00B9205F">
        <w:rPr>
          <w:rFonts w:cs="Arial"/>
          <w:lang w:val="en-GB"/>
        </w:rPr>
        <w:t>.</w:t>
      </w:r>
    </w:p>
    <w:p w14:paraId="1D1EEFB2" w14:textId="7F728083" w:rsidR="00D707C2" w:rsidRPr="005A6D60" w:rsidRDefault="001D46F0" w:rsidP="005A6D60">
      <w:pPr>
        <w:rPr>
          <w:rFonts w:cs="Arial"/>
          <w:lang w:val="en-GB"/>
        </w:rPr>
      </w:pPr>
      <w:r>
        <w:rPr>
          <w:rFonts w:cs="Arial"/>
          <w:lang w:val="en-GB"/>
        </w:rPr>
        <w:t>During the Practical Teacher Training, the student teacher should design a teaching unit worth</w:t>
      </w:r>
      <w:r w:rsidRPr="001D46F0">
        <w:rPr>
          <w:rFonts w:cs="Arial"/>
          <w:lang w:val="en-GB"/>
        </w:rPr>
        <w:t xml:space="preserve"> </w:t>
      </w:r>
      <w:r w:rsidRPr="00E150A0">
        <w:rPr>
          <w:rFonts w:cs="Arial"/>
          <w:lang w:val="en-GB"/>
        </w:rPr>
        <w:t>approximately 3 ECTS credits</w:t>
      </w:r>
      <w:r>
        <w:rPr>
          <w:rFonts w:cs="Arial"/>
          <w:lang w:val="en-GB"/>
        </w:rPr>
        <w:t xml:space="preserve"> or </w:t>
      </w:r>
      <w:r>
        <w:rPr>
          <w:rFonts w:cs="Arial"/>
          <w:lang w:val="en-GB"/>
        </w:rPr>
        <w:t>equivalent</w:t>
      </w:r>
      <w:r w:rsidRPr="00E150A0">
        <w:rPr>
          <w:rFonts w:cs="Arial"/>
          <w:lang w:val="en-GB"/>
        </w:rPr>
        <w:t xml:space="preserve"> competence </w:t>
      </w:r>
      <w:r w:rsidRPr="00E150A0">
        <w:rPr>
          <w:rFonts w:cs="Arial"/>
          <w:lang w:val="en-GB"/>
        </w:rPr>
        <w:t>points.</w:t>
      </w:r>
      <w:r>
        <w:rPr>
          <w:rFonts w:cs="Arial"/>
          <w:lang w:val="en-GB"/>
        </w:rPr>
        <w:t xml:space="preserve"> </w:t>
      </w:r>
      <w:r w:rsidR="004B6BF3">
        <w:rPr>
          <w:rFonts w:cs="Arial"/>
          <w:lang w:val="en-GB"/>
        </w:rPr>
        <w:t>If needed, t</w:t>
      </w:r>
      <w:r>
        <w:rPr>
          <w:rFonts w:cs="Arial"/>
          <w:lang w:val="en-GB"/>
        </w:rPr>
        <w:t>he unit can also be a series of shorter units (2-4</w:t>
      </w:r>
      <w:r w:rsidR="004B6BF3">
        <w:rPr>
          <w:rFonts w:cs="Arial"/>
          <w:lang w:val="en-GB"/>
        </w:rPr>
        <w:t xml:space="preserve">). The main goal is to provide a holistic learning experience that encompasses </w:t>
      </w:r>
      <w:r w:rsidR="005A6D60" w:rsidRPr="00E150A0">
        <w:rPr>
          <w:rFonts w:cs="Arial"/>
          <w:lang w:val="en-GB"/>
        </w:rPr>
        <w:t>planning</w:t>
      </w:r>
      <w:r w:rsidR="004B6BF3">
        <w:rPr>
          <w:rFonts w:cs="Arial"/>
          <w:lang w:val="en-GB"/>
        </w:rPr>
        <w:t xml:space="preserve">, </w:t>
      </w:r>
      <w:r w:rsidR="005A6D60" w:rsidRPr="00E150A0">
        <w:rPr>
          <w:rFonts w:cs="Arial"/>
          <w:lang w:val="en-GB"/>
        </w:rPr>
        <w:t xml:space="preserve">teaching, </w:t>
      </w:r>
      <w:r w:rsidR="004B6BF3" w:rsidRPr="00E150A0">
        <w:rPr>
          <w:rFonts w:cs="Arial"/>
          <w:lang w:val="en-GB"/>
        </w:rPr>
        <w:t>guiding,</w:t>
      </w:r>
      <w:r w:rsidR="005A6D60" w:rsidRPr="00E150A0">
        <w:rPr>
          <w:rFonts w:cs="Arial"/>
          <w:lang w:val="en-GB"/>
        </w:rPr>
        <w:t xml:space="preserve"> and assess</w:t>
      </w:r>
      <w:r w:rsidR="004B6BF3">
        <w:rPr>
          <w:rFonts w:cs="Arial"/>
          <w:lang w:val="en-GB"/>
        </w:rPr>
        <w:t xml:space="preserve">ing student’s </w:t>
      </w:r>
      <w:r w:rsidR="005A6D60" w:rsidRPr="00E150A0">
        <w:rPr>
          <w:rFonts w:cs="Arial"/>
          <w:lang w:val="en-GB"/>
        </w:rPr>
        <w:t>learning or competence</w:t>
      </w:r>
      <w:r w:rsidR="004B6BF3">
        <w:rPr>
          <w:rFonts w:cs="Arial"/>
          <w:lang w:val="en-GB"/>
        </w:rPr>
        <w:t>. Throughout this process, the student teacher should receive</w:t>
      </w:r>
      <w:r w:rsidR="005A6D60" w:rsidRPr="00E150A0">
        <w:rPr>
          <w:rFonts w:cs="Arial"/>
          <w:lang w:val="en-GB"/>
        </w:rPr>
        <w:t xml:space="preserve"> feedback and guidance </w:t>
      </w:r>
      <w:r w:rsidR="004B6BF3">
        <w:rPr>
          <w:rFonts w:cs="Arial"/>
          <w:lang w:val="en-GB"/>
        </w:rPr>
        <w:t>to enhance their development.</w:t>
      </w:r>
    </w:p>
    <w:sectPr w:rsidR="00D707C2" w:rsidRPr="005A6D60" w:rsidSect="008F60B1">
      <w:headerReference w:type="default" r:id="rId11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BC42" w14:textId="77777777" w:rsidR="006E7A09" w:rsidRDefault="006E7A09">
      <w:r>
        <w:separator/>
      </w:r>
    </w:p>
  </w:endnote>
  <w:endnote w:type="continuationSeparator" w:id="0">
    <w:p w14:paraId="57F8D5AA" w14:textId="77777777" w:rsidR="006E7A09" w:rsidRDefault="006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869" w14:textId="77777777" w:rsidR="006E7A09" w:rsidRDefault="006E7A09">
      <w:r>
        <w:separator/>
      </w:r>
    </w:p>
  </w:footnote>
  <w:footnote w:type="continuationSeparator" w:id="0">
    <w:p w14:paraId="4D83A958" w14:textId="77777777" w:rsidR="006E7A09" w:rsidRDefault="006E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488E" w14:textId="43D0DE72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150E1B88" wp14:editId="25D4CF48">
          <wp:extent cx="1600000" cy="609600"/>
          <wp:effectExtent l="0" t="0" r="0" b="0"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5A6D60" w:rsidRPr="005A6D60">
      <w:rPr>
        <w:lang w:val="en-GB"/>
      </w:rPr>
      <w:t>Practical Teacher Training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SECTIONPAGES   \* MERGEFORMAT ">
      <w:r w:rsidR="004B6BF3">
        <w:rPr>
          <w:noProof/>
        </w:rPr>
        <w:t>2</w:t>
      </w:r>
    </w:fldSimple>
    <w:r>
      <w:t>)</w:t>
    </w:r>
  </w:p>
  <w:p w14:paraId="52C8587C" w14:textId="20F72E73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D707C2">
      <w:t>4.4.2024</w:t>
    </w:r>
  </w:p>
  <w:p w14:paraId="6AF780A9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9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61690"/>
    <w:rsid w:val="00171281"/>
    <w:rsid w:val="001811E6"/>
    <w:rsid w:val="001A3199"/>
    <w:rsid w:val="001A647E"/>
    <w:rsid w:val="001C1728"/>
    <w:rsid w:val="001D0D4A"/>
    <w:rsid w:val="001D2F3A"/>
    <w:rsid w:val="001D46F0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B6BF3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A6D60"/>
    <w:rsid w:val="005B2AE0"/>
    <w:rsid w:val="005B7697"/>
    <w:rsid w:val="005C55B9"/>
    <w:rsid w:val="005E1850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E7A09"/>
    <w:rsid w:val="006F3AD5"/>
    <w:rsid w:val="007071E5"/>
    <w:rsid w:val="00710D5C"/>
    <w:rsid w:val="00717FDB"/>
    <w:rsid w:val="00731752"/>
    <w:rsid w:val="00756A7F"/>
    <w:rsid w:val="007621D5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B6FB8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205F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294E"/>
    <w:rsid w:val="00D707C2"/>
    <w:rsid w:val="00D93C79"/>
    <w:rsid w:val="00D961A5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70390"/>
    <w:rsid w:val="00E739FB"/>
    <w:rsid w:val="00E75E18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6AA76848"/>
  <w15:chartTrackingRefBased/>
  <w15:docId w15:val="{D5AC9897-0283-4D05-B571-8BF2A54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D707C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D707C2"/>
    <w:pPr>
      <w:keepNext/>
      <w:keepLines/>
      <w:outlineLvl w:val="1"/>
    </w:pPr>
    <w:rPr>
      <w:rFonts w:cs="Arial"/>
      <w:b/>
      <w:bCs/>
      <w:iCs/>
      <w:sz w:val="24"/>
    </w:rPr>
  </w:style>
  <w:style w:type="paragraph" w:styleId="Otsikko3">
    <w:name w:val="heading 3"/>
    <w:basedOn w:val="Normaali"/>
    <w:next w:val="Perusteksti"/>
    <w:autoRedefine/>
    <w:qFormat/>
    <w:rsid w:val="004B6BF3"/>
    <w:pPr>
      <w:keepNext/>
      <w:keepLines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D707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D4B9F-7A23-45A2-9A86-C091CE841B38}">
  <ds:schemaRefs>
    <ds:schemaRef ds:uri="8c06a4f4-4dd4-453e-8d91-141794537537"/>
    <ds:schemaRef ds:uri="http://schemas.microsoft.com/sharepoint/v3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304702af-df1a-4cc9-9c99-8a93ec1bcd1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46</TotalTime>
  <Pages>2</Pages>
  <Words>436</Words>
  <Characters>2743</Characters>
  <Application>Microsoft Office Word</Application>
  <DocSecurity>0</DocSecurity>
  <Lines>91</Lines>
  <Paragraphs>44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Opetusharjoitteluoppilaitosten kelpoisuudet</vt:lpstr>
      <vt:lpstr>HAMK raporttipohja</vt:lpstr>
    </vt:vector>
  </TitlesOfParts>
  <Company>Hämeen ammattikorkeakoulu</Company>
  <LinksUpToDate>false</LinksUpToDate>
  <CharactersWithSpaces>3135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of institutions for practical teacher training</dc:title>
  <dc:subject/>
  <dc:creator>Anna Sandt</dc:creator>
  <cp:keywords/>
  <dc:description/>
  <cp:lastModifiedBy>Anna Sandt</cp:lastModifiedBy>
  <cp:revision>4</cp:revision>
  <cp:lastPrinted>2024-05-10T08:34:00Z</cp:lastPrinted>
  <dcterms:created xsi:type="dcterms:W3CDTF">2024-05-10T08:42:00Z</dcterms:created>
  <dcterms:modified xsi:type="dcterms:W3CDTF">2024-05-10T09:23:00Z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5a2fc3f65804fabdc9d1135b9a54f76589a7f25050e70de3438ac64f992604ef</vt:lpwstr>
  </property>
</Properties>
</file>